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B12F" w14:textId="77777777" w:rsidR="00C83918" w:rsidRDefault="00C83918">
      <w:pPr>
        <w:pStyle w:val="Blocksatz"/>
        <w:spacing w:before="0" w:after="60"/>
        <w:rPr>
          <w:color w:val="auto"/>
          <w:sz w:val="18"/>
        </w:rPr>
      </w:pPr>
    </w:p>
    <w:p w14:paraId="16DAF3E9" w14:textId="5909A1B6" w:rsidR="00405A20" w:rsidRDefault="00C34C54">
      <w:pPr>
        <w:pStyle w:val="Blocksatz"/>
        <w:spacing w:before="0" w:after="60"/>
        <w:rPr>
          <w:sz w:val="18"/>
        </w:rPr>
      </w:pPr>
      <w:r>
        <w:rPr>
          <w:color w:val="auto"/>
          <w:sz w:val="18"/>
        </w:rPr>
        <w:t xml:space="preserve">In der </w:t>
      </w:r>
      <w:r w:rsidR="004C0BFD" w:rsidRPr="004C0BFD">
        <w:rPr>
          <w:color w:val="auto"/>
          <w:sz w:val="18"/>
        </w:rPr>
        <w:t xml:space="preserve">Verordnung zur arbeitsmedizinischen Vorsorge </w:t>
      </w:r>
      <w:r>
        <w:rPr>
          <w:color w:val="auto"/>
          <w:sz w:val="18"/>
        </w:rPr>
        <w:t>(</w:t>
      </w:r>
      <w:proofErr w:type="spellStart"/>
      <w:r>
        <w:rPr>
          <w:color w:val="auto"/>
          <w:sz w:val="18"/>
        </w:rPr>
        <w:t>ArbMedVV</w:t>
      </w:r>
      <w:proofErr w:type="spellEnd"/>
      <w:r>
        <w:rPr>
          <w:color w:val="auto"/>
          <w:sz w:val="18"/>
        </w:rPr>
        <w:t xml:space="preserve">) </w:t>
      </w:r>
      <w:r w:rsidR="00405A20" w:rsidRPr="00F34F0A">
        <w:rPr>
          <w:color w:val="auto"/>
          <w:sz w:val="18"/>
        </w:rPr>
        <w:t xml:space="preserve">wird das Verhältnis zwischen </w:t>
      </w:r>
      <w:r w:rsidR="00973F28">
        <w:rPr>
          <w:color w:val="auto"/>
          <w:sz w:val="18"/>
        </w:rPr>
        <w:t xml:space="preserve">Beschäftigten und Arbeitsmedizinern klar herausgestellt. Sie haben </w:t>
      </w:r>
      <w:r w:rsidR="00405A20" w:rsidRPr="00F34F0A">
        <w:rPr>
          <w:color w:val="auto"/>
          <w:sz w:val="18"/>
        </w:rPr>
        <w:t>die Beschäftigten über Inhalte</w:t>
      </w:r>
      <w:r w:rsidR="00405A20">
        <w:rPr>
          <w:sz w:val="18"/>
        </w:rPr>
        <w:t xml:space="preserve">, Zweck und Risiken </w:t>
      </w:r>
      <w:r w:rsidR="00973F28">
        <w:rPr>
          <w:sz w:val="18"/>
        </w:rPr>
        <w:t xml:space="preserve">der </w:t>
      </w:r>
      <w:r w:rsidR="00405A20">
        <w:rPr>
          <w:sz w:val="18"/>
        </w:rPr>
        <w:t>arbeitsmedizinische</w:t>
      </w:r>
      <w:r w:rsidR="004C0BFD">
        <w:rPr>
          <w:sz w:val="18"/>
        </w:rPr>
        <w:t>n</w:t>
      </w:r>
      <w:r w:rsidR="00405A20">
        <w:rPr>
          <w:sz w:val="18"/>
        </w:rPr>
        <w:t xml:space="preserve"> Vorsorge aufzuklären. Dieses ermöglicht den Beschäftigten, unter dem Siegel der ärztlichen Verschwiegenheit, eine individuelle Entscheidung zu treffen und eine klinische Untersuchung ggf. abzulehnen.</w:t>
      </w:r>
    </w:p>
    <w:p w14:paraId="68CBFBF9" w14:textId="77777777" w:rsidR="00405A20" w:rsidRDefault="00405A20">
      <w:pPr>
        <w:pStyle w:val="Blocksatz"/>
        <w:spacing w:before="0" w:after="60"/>
        <w:rPr>
          <w:color w:val="auto"/>
          <w:sz w:val="18"/>
        </w:rPr>
      </w:pPr>
      <w:r w:rsidRPr="008C526C">
        <w:rPr>
          <w:color w:val="auto"/>
          <w:sz w:val="18"/>
        </w:rPr>
        <w:t xml:space="preserve">Untersuchungen von Personen im Sinne der beruflichen Eignung (Eignungsuntersuchungen) sind nicht Gegenstand der </w:t>
      </w:r>
      <w:proofErr w:type="spellStart"/>
      <w:r w:rsidRPr="008C526C">
        <w:rPr>
          <w:color w:val="auto"/>
          <w:sz w:val="18"/>
        </w:rPr>
        <w:t>ArbMedVV</w:t>
      </w:r>
      <w:proofErr w:type="spellEnd"/>
      <w:r w:rsidR="00973F28">
        <w:rPr>
          <w:color w:val="auto"/>
          <w:sz w:val="18"/>
        </w:rPr>
        <w:t xml:space="preserve"> und gehören nicht zur arbeitsmedizinischen Vorsorge. </w:t>
      </w:r>
    </w:p>
    <w:p w14:paraId="15187DDE" w14:textId="77777777" w:rsidR="008C526C" w:rsidRPr="008C526C" w:rsidRDefault="008C526C">
      <w:pPr>
        <w:pStyle w:val="Blocksatz"/>
        <w:spacing w:before="0" w:after="60"/>
        <w:rPr>
          <w:color w:val="auto"/>
          <w:sz w:val="18"/>
        </w:rPr>
      </w:pPr>
    </w:p>
    <w:tbl>
      <w:tblPr>
        <w:tblW w:w="98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1"/>
        <w:gridCol w:w="2617"/>
      </w:tblGrid>
      <w:tr w:rsidR="00405A20" w:rsidRPr="008C526C" w14:paraId="56D660F3" w14:textId="77777777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7B32" w14:textId="77777777" w:rsidR="00405A20" w:rsidRPr="008C526C" w:rsidRDefault="00405A20">
            <w:pPr>
              <w:pStyle w:val="Blocksatz"/>
              <w:spacing w:before="40" w:after="40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Was ist zu beachten?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2D4B" w14:textId="77777777" w:rsidR="00405A20" w:rsidRPr="008C526C" w:rsidRDefault="00405A20">
            <w:pPr>
              <w:pStyle w:val="Blocksatz"/>
              <w:spacing w:before="40" w:after="40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Wer ist verantwortlich?</w:t>
            </w:r>
          </w:p>
        </w:tc>
      </w:tr>
      <w:tr w:rsidR="00405A20" w:rsidRPr="008C526C" w14:paraId="2A38C202" w14:textId="77777777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27C9" w14:textId="77777777" w:rsidR="00405A20" w:rsidRPr="008C526C" w:rsidRDefault="00405A20">
            <w:pPr>
              <w:pStyle w:val="Blocksatz"/>
              <w:spacing w:before="40" w:after="0"/>
              <w:ind w:right="215"/>
              <w:jc w:val="left"/>
              <w:rPr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 xml:space="preserve">Die </w:t>
            </w:r>
            <w:proofErr w:type="spellStart"/>
            <w:r w:rsidRPr="008C526C">
              <w:rPr>
                <w:b/>
                <w:color w:val="auto"/>
                <w:sz w:val="18"/>
              </w:rPr>
              <w:t>ArbMedVV</w:t>
            </w:r>
            <w:proofErr w:type="spellEnd"/>
            <w:r w:rsidRPr="008C526C">
              <w:rPr>
                <w:b/>
                <w:color w:val="auto"/>
                <w:sz w:val="18"/>
              </w:rPr>
              <w:t xml:space="preserve"> regelt die arbeitsmedizinische Vorsorge.</w:t>
            </w:r>
            <w:r w:rsidRPr="008C526C">
              <w:rPr>
                <w:color w:val="auto"/>
                <w:sz w:val="18"/>
              </w:rPr>
              <w:t xml:space="preserve"> Dazu gehören:</w:t>
            </w:r>
          </w:p>
          <w:p w14:paraId="5FCD3E3B" w14:textId="7864CA1B" w:rsidR="00405A20" w:rsidRPr="008C526C" w:rsidRDefault="00405A20">
            <w:pPr>
              <w:pStyle w:val="Blocksatzatabelle"/>
              <w:jc w:val="left"/>
              <w:rPr>
                <w:b/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die </w:t>
            </w:r>
            <w:r w:rsidRPr="008C526C">
              <w:rPr>
                <w:b/>
                <w:color w:val="auto"/>
                <w:sz w:val="18"/>
              </w:rPr>
              <w:t>Pflichtvorsorge</w:t>
            </w:r>
            <w:r w:rsidRPr="008C526C">
              <w:rPr>
                <w:color w:val="auto"/>
                <w:sz w:val="18"/>
              </w:rPr>
              <w:t xml:space="preserve">, die bei bestimmten </w:t>
            </w:r>
            <w:r w:rsidRPr="008C526C">
              <w:rPr>
                <w:b/>
                <w:color w:val="auto"/>
                <w:sz w:val="18"/>
              </w:rPr>
              <w:t>besonders gefährdenden</w:t>
            </w:r>
            <w:r w:rsidRPr="008C526C">
              <w:rPr>
                <w:color w:val="auto"/>
                <w:sz w:val="18"/>
              </w:rPr>
              <w:t xml:space="preserve"> Tätigkeiten durch den AG </w:t>
            </w:r>
            <w:r w:rsidRPr="008C526C">
              <w:rPr>
                <w:b/>
                <w:color w:val="auto"/>
                <w:sz w:val="18"/>
              </w:rPr>
              <w:t>veranlasst werden muss.</w:t>
            </w:r>
          </w:p>
          <w:p w14:paraId="5FD95325" w14:textId="1D8D8360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die </w:t>
            </w:r>
            <w:r w:rsidRPr="008C526C">
              <w:rPr>
                <w:b/>
                <w:color w:val="auto"/>
                <w:sz w:val="18"/>
              </w:rPr>
              <w:t>Angebotsvorsorge</w:t>
            </w:r>
            <w:r w:rsidRPr="008C526C">
              <w:rPr>
                <w:color w:val="auto"/>
                <w:sz w:val="18"/>
              </w:rPr>
              <w:t xml:space="preserve">, die bei bestimmten </w:t>
            </w:r>
            <w:r w:rsidRPr="008C526C">
              <w:rPr>
                <w:b/>
                <w:color w:val="auto"/>
                <w:sz w:val="18"/>
              </w:rPr>
              <w:t xml:space="preserve">gefährdenden </w:t>
            </w:r>
            <w:r w:rsidRPr="008C526C">
              <w:rPr>
                <w:color w:val="auto"/>
                <w:sz w:val="18"/>
              </w:rPr>
              <w:t xml:space="preserve">Tätigkeiten durch </w:t>
            </w:r>
            <w:r w:rsidRPr="008C526C">
              <w:rPr>
                <w:color w:val="auto"/>
                <w:sz w:val="18"/>
              </w:rPr>
              <w:br/>
              <w:t xml:space="preserve">den AG </w:t>
            </w:r>
            <w:r w:rsidRPr="008C526C">
              <w:rPr>
                <w:b/>
                <w:color w:val="auto"/>
                <w:sz w:val="18"/>
              </w:rPr>
              <w:t>angeboten werden muss.</w:t>
            </w:r>
          </w:p>
          <w:p w14:paraId="2F5799FE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die </w:t>
            </w:r>
            <w:r w:rsidRPr="008C526C">
              <w:rPr>
                <w:b/>
                <w:color w:val="auto"/>
                <w:sz w:val="18"/>
              </w:rPr>
              <w:t>Wunschvorsorge</w:t>
            </w:r>
            <w:r w:rsidRPr="008C526C">
              <w:rPr>
                <w:color w:val="auto"/>
                <w:sz w:val="18"/>
              </w:rPr>
              <w:t xml:space="preserve">, die bei Tätigkeiten mit </w:t>
            </w:r>
            <w:r w:rsidRPr="008C526C">
              <w:rPr>
                <w:b/>
                <w:color w:val="auto"/>
                <w:sz w:val="18"/>
              </w:rPr>
              <w:t xml:space="preserve">möglichem Gesundheitsschaden </w:t>
            </w:r>
            <w:r w:rsidRPr="008C526C">
              <w:rPr>
                <w:color w:val="auto"/>
                <w:sz w:val="18"/>
              </w:rPr>
              <w:t xml:space="preserve">auf Wunsch der Beschäftigten </w:t>
            </w:r>
            <w:r w:rsidRPr="008C526C">
              <w:rPr>
                <w:b/>
                <w:color w:val="auto"/>
                <w:sz w:val="18"/>
              </w:rPr>
              <w:t>ermöglicht werden muss.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B8029" w14:textId="5EC7AD06" w:rsidR="00405A20" w:rsidRPr="008C526C" w:rsidRDefault="00405A20">
            <w:pPr>
              <w:pStyle w:val="Blocksatz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Arbeitgeber (AG)</w:t>
            </w:r>
          </w:p>
          <w:p w14:paraId="0A308B66" w14:textId="77777777" w:rsidR="00032D85" w:rsidRPr="008C526C" w:rsidRDefault="00405A20">
            <w:pPr>
              <w:pStyle w:val="Blocksatz"/>
              <w:jc w:val="center"/>
              <w:rPr>
                <w:color w:val="auto"/>
                <w:sz w:val="18"/>
              </w:rPr>
            </w:pPr>
            <w:r w:rsidRPr="008C526C">
              <w:rPr>
                <w:color w:val="auto"/>
                <w:sz w:val="18"/>
              </w:rPr>
              <w:t xml:space="preserve">(Arbeitsmedizinische Pflicht- und Angebotsvorsorge </w:t>
            </w:r>
            <w:r w:rsidR="00E10C88" w:rsidRPr="008C526C">
              <w:rPr>
                <w:color w:val="auto"/>
                <w:sz w:val="18"/>
              </w:rPr>
              <w:t xml:space="preserve">siehe Anhang </w:t>
            </w:r>
            <w:r w:rsidRPr="008C526C">
              <w:rPr>
                <w:color w:val="auto"/>
                <w:sz w:val="18"/>
              </w:rPr>
              <w:t xml:space="preserve">der </w:t>
            </w:r>
            <w:proofErr w:type="spellStart"/>
            <w:r w:rsidRPr="008C526C">
              <w:rPr>
                <w:color w:val="auto"/>
                <w:sz w:val="18"/>
              </w:rPr>
              <w:t>ArbMedVV</w:t>
            </w:r>
            <w:proofErr w:type="spellEnd"/>
            <w:r w:rsidR="00032D85" w:rsidRPr="008C526C">
              <w:rPr>
                <w:color w:val="auto"/>
                <w:sz w:val="18"/>
              </w:rPr>
              <w:t>)</w:t>
            </w:r>
            <w:r w:rsidR="00880A5C" w:rsidRPr="008C526C">
              <w:rPr>
                <w:color w:val="auto"/>
                <w:sz w:val="18"/>
              </w:rPr>
              <w:t xml:space="preserve"> </w:t>
            </w:r>
          </w:p>
          <w:p w14:paraId="03608E1E" w14:textId="77777777" w:rsidR="00405A20" w:rsidRPr="008C526C" w:rsidRDefault="00E10C88">
            <w:pPr>
              <w:pStyle w:val="Blocksatz"/>
              <w:jc w:val="center"/>
              <w:rPr>
                <w:color w:val="auto"/>
                <w:sz w:val="18"/>
              </w:rPr>
            </w:pPr>
            <w:hyperlink r:id="rId6" w:history="1">
              <w:r w:rsidRPr="008C526C">
                <w:rPr>
                  <w:rStyle w:val="Hyperlink"/>
                  <w:color w:val="auto"/>
                  <w:sz w:val="16"/>
                  <w:szCs w:val="16"/>
                </w:rPr>
                <w:t>https://www.gesetze-im-internet.de/arbmedvv/index.html</w:t>
              </w:r>
            </w:hyperlink>
            <w:r w:rsidRPr="008C526C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405A20" w:rsidRPr="008C526C" w14:paraId="059FE5E1" w14:textId="77777777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878A" w14:textId="77777777" w:rsidR="00405A20" w:rsidRPr="008C526C" w:rsidRDefault="00405A20">
            <w:pPr>
              <w:pStyle w:val="Blocksatz"/>
              <w:spacing w:before="40" w:after="0"/>
              <w:ind w:right="215"/>
              <w:jc w:val="left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Auf Grundlage der Gefährdungsbeurteilung ist für eine angemessene arbeitsmedizinische Vorsorge zu sorgen.</w:t>
            </w:r>
          </w:p>
          <w:p w14:paraId="2A97978B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Eine </w:t>
            </w:r>
            <w:r w:rsidR="00055B5F">
              <w:rPr>
                <w:color w:val="auto"/>
                <w:sz w:val="18"/>
              </w:rPr>
              <w:t>Arbeitsmedizinerin/ein Arbeitsmediziner</w:t>
            </w:r>
            <w:r w:rsidRPr="008C526C">
              <w:rPr>
                <w:color w:val="auto"/>
                <w:sz w:val="18"/>
              </w:rPr>
              <w:t xml:space="preserve"> ist zu beauftragen. Sofern nach § 2 des Arbeitssicherheitsgesetzes eine Betriebsärztin/ein Betriebsarzt bestellt ist, sollten diese beauftragt werden.</w:t>
            </w:r>
          </w:p>
          <w:p w14:paraId="149D843E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</w:r>
            <w:r w:rsidR="00055B5F">
              <w:rPr>
                <w:color w:val="auto"/>
                <w:sz w:val="18"/>
              </w:rPr>
              <w:t>Der beauftragten Ärztin/</w:t>
            </w:r>
            <w:r w:rsidRPr="008C526C">
              <w:rPr>
                <w:color w:val="auto"/>
                <w:sz w:val="18"/>
              </w:rPr>
              <w:t>De</w:t>
            </w:r>
            <w:r w:rsidR="00055B5F">
              <w:rPr>
                <w:color w:val="auto"/>
                <w:sz w:val="18"/>
              </w:rPr>
              <w:t>m</w:t>
            </w:r>
            <w:r w:rsidRPr="008C526C">
              <w:rPr>
                <w:color w:val="auto"/>
                <w:sz w:val="18"/>
              </w:rPr>
              <w:t xml:space="preserve"> beauftragte</w:t>
            </w:r>
            <w:r w:rsidR="00055B5F">
              <w:rPr>
                <w:color w:val="auto"/>
                <w:sz w:val="18"/>
              </w:rPr>
              <w:t>n Arzt</w:t>
            </w:r>
            <w:r w:rsidRPr="008C526C">
              <w:rPr>
                <w:color w:val="auto"/>
                <w:sz w:val="18"/>
              </w:rPr>
              <w:t xml:space="preserve"> </w:t>
            </w:r>
            <w:r w:rsidR="00055B5F">
              <w:rPr>
                <w:color w:val="auto"/>
                <w:sz w:val="18"/>
              </w:rPr>
              <w:t>sind</w:t>
            </w:r>
            <w:r w:rsidRPr="008C526C">
              <w:rPr>
                <w:color w:val="auto"/>
                <w:sz w:val="18"/>
              </w:rPr>
              <w:t xml:space="preserve"> auf Verlangen alle erforderlichen Auskünfte und die Ergebnisse der Gefährdungsbeurteilung mitzuteilen sowie eine Arbeitsplatzbegehung zu ermöglichen.</w:t>
            </w:r>
          </w:p>
          <w:p w14:paraId="79E702B4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Einstellungs- oder Eignungsuntersuchungen sind von der arbeitsmedizinischen Vorsorge klar zu trennen.</w:t>
            </w:r>
          </w:p>
          <w:p w14:paraId="2E5FBED5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Eine </w:t>
            </w:r>
            <w:r w:rsidRPr="008C526C">
              <w:rPr>
                <w:b/>
                <w:color w:val="auto"/>
                <w:sz w:val="18"/>
              </w:rPr>
              <w:t xml:space="preserve">Vorsorgekartei </w:t>
            </w:r>
            <w:r w:rsidRPr="008C526C">
              <w:rPr>
                <w:color w:val="auto"/>
                <w:sz w:val="18"/>
              </w:rPr>
              <w:t>ist zu führen mit den Angaben</w:t>
            </w:r>
            <w:r w:rsidR="00A5269B" w:rsidRPr="008C526C">
              <w:rPr>
                <w:color w:val="auto"/>
                <w:sz w:val="18"/>
              </w:rPr>
              <w:t>,</w:t>
            </w:r>
            <w:r w:rsidRPr="008C526C">
              <w:rPr>
                <w:color w:val="auto"/>
                <w:sz w:val="18"/>
              </w:rPr>
              <w:t xml:space="preserve"> da</w:t>
            </w:r>
            <w:r w:rsidR="00A5269B" w:rsidRPr="008C526C">
              <w:rPr>
                <w:color w:val="auto"/>
                <w:sz w:val="18"/>
              </w:rPr>
              <w:t>s</w:t>
            </w:r>
            <w:r w:rsidRPr="008C526C">
              <w:rPr>
                <w:color w:val="auto"/>
                <w:sz w:val="18"/>
              </w:rPr>
              <w:t>s, wann und aus welche</w:t>
            </w:r>
            <w:r w:rsidR="00A5269B" w:rsidRPr="008C526C">
              <w:rPr>
                <w:color w:val="auto"/>
                <w:sz w:val="18"/>
              </w:rPr>
              <w:t>n</w:t>
            </w:r>
            <w:r w:rsidRPr="008C526C">
              <w:rPr>
                <w:color w:val="auto"/>
                <w:sz w:val="18"/>
              </w:rPr>
              <w:t xml:space="preserve"> Anl</w:t>
            </w:r>
            <w:r w:rsidR="00A5269B" w:rsidRPr="008C526C">
              <w:rPr>
                <w:color w:val="auto"/>
                <w:sz w:val="18"/>
              </w:rPr>
              <w:t>ässen</w:t>
            </w:r>
            <w:r w:rsidRPr="008C526C">
              <w:rPr>
                <w:color w:val="auto"/>
                <w:sz w:val="18"/>
              </w:rPr>
              <w:t xml:space="preserve"> eine arbeitsmedizinische Vorsorge stattgefunden hat sowie ein ggf. vermerkter nächster Termin im Rahmen dieser Vorsorge.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CC91" w14:textId="2D459E0A" w:rsidR="00405A20" w:rsidRPr="008C526C" w:rsidRDefault="00405A20">
            <w:pPr>
              <w:pStyle w:val="Blocksatz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 xml:space="preserve">Arbeitgeber </w:t>
            </w:r>
          </w:p>
          <w:p w14:paraId="7A3CB2AF" w14:textId="77777777" w:rsidR="00405A20" w:rsidRPr="008C526C" w:rsidRDefault="00405A20">
            <w:pPr>
              <w:pStyle w:val="Blocksatz"/>
              <w:jc w:val="center"/>
              <w:rPr>
                <w:b/>
                <w:color w:val="auto"/>
                <w:sz w:val="18"/>
              </w:rPr>
            </w:pPr>
          </w:p>
        </w:tc>
      </w:tr>
      <w:tr w:rsidR="00405A20" w:rsidRPr="008C526C" w14:paraId="47BA20FC" w14:textId="77777777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976B" w14:textId="77777777" w:rsidR="00405A20" w:rsidRPr="008C526C" w:rsidRDefault="00405A20">
            <w:pPr>
              <w:pStyle w:val="Blocksatz"/>
              <w:spacing w:before="40" w:after="0"/>
              <w:ind w:right="215"/>
              <w:jc w:val="left"/>
              <w:rPr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Verpflichtung zur Teilnahme am Pflichtvorsorgetermin.</w:t>
            </w:r>
          </w:p>
          <w:p w14:paraId="2FB7C3EE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Im Rahmen der arbeitsmedizinischen Vorsorge kann eine körperliche oder klinische Untersuchung durch die Beschäftigten abgelehnt werden.</w:t>
            </w:r>
          </w:p>
          <w:p w14:paraId="37E4560E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 xml:space="preserve">Eine Beratung und Erhebung der allgemeinen/beruflichen Vorgeschichte muss mindestens durchgeführt werden, damit eine </w:t>
            </w:r>
            <w:r w:rsidRPr="008C526C">
              <w:rPr>
                <w:b/>
                <w:color w:val="auto"/>
                <w:sz w:val="18"/>
              </w:rPr>
              <w:t>Vorsorgebescheinigung</w:t>
            </w:r>
            <w:r w:rsidRPr="008C526C">
              <w:rPr>
                <w:color w:val="auto"/>
                <w:sz w:val="18"/>
              </w:rPr>
              <w:t xml:space="preserve"> ausgestellt werden kann.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33B2" w14:textId="77777777" w:rsidR="00405A20" w:rsidRPr="008C526C" w:rsidRDefault="00405A20">
            <w:pPr>
              <w:pStyle w:val="Blocksatz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Beschäftigte</w:t>
            </w:r>
          </w:p>
        </w:tc>
      </w:tr>
      <w:tr w:rsidR="00405A20" w:rsidRPr="008C526C" w14:paraId="14A47DFE" w14:textId="77777777">
        <w:tc>
          <w:tcPr>
            <w:tcW w:w="7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3DE9" w14:textId="77777777" w:rsidR="00405A20" w:rsidRPr="008C526C" w:rsidRDefault="00405A20">
            <w:pPr>
              <w:pStyle w:val="Blocksatz"/>
              <w:spacing w:before="40" w:after="0"/>
              <w:ind w:right="215"/>
              <w:jc w:val="left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>Information und Dokumentation.</w:t>
            </w:r>
          </w:p>
          <w:p w14:paraId="1AA3EFBC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Information der Beschäftigten über Inhalt, Zweck und Risiken der Untersuchung sowie – falls erforderlich, wann eine weitere arbeitsmedizinische Vorsorge erforderlich ist.</w:t>
            </w:r>
          </w:p>
          <w:p w14:paraId="1E30BBD7" w14:textId="62CCBDD2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Erstellung einer Vorsorgebescheinigung</w:t>
            </w:r>
            <w:r w:rsidRPr="008C526C">
              <w:rPr>
                <w:b/>
                <w:color w:val="auto"/>
                <w:sz w:val="18"/>
              </w:rPr>
              <w:t xml:space="preserve"> </w:t>
            </w:r>
            <w:r w:rsidRPr="008C526C">
              <w:rPr>
                <w:color w:val="auto"/>
                <w:sz w:val="18"/>
              </w:rPr>
              <w:t>für die Beschäftigten und den AG.</w:t>
            </w:r>
          </w:p>
          <w:p w14:paraId="4EA2F7F4" w14:textId="77777777" w:rsidR="00405A20" w:rsidRPr="008C526C" w:rsidRDefault="00405A20">
            <w:pPr>
              <w:pStyle w:val="Blocksatzatabelle"/>
              <w:jc w:val="left"/>
              <w:rPr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Ergebnisse und Befunde der arbeitsmedizinischen Vorsorge sind schriftlich festzuhalten und die Beschäftigten sind daraufhin zu beraten.</w:t>
            </w:r>
          </w:p>
          <w:p w14:paraId="5D0F251B" w14:textId="639B1979" w:rsidR="00405A20" w:rsidRPr="008C526C" w:rsidRDefault="00405A20">
            <w:pPr>
              <w:pStyle w:val="Blocksatzatabelle"/>
              <w:jc w:val="left"/>
              <w:rPr>
                <w:b/>
                <w:color w:val="auto"/>
                <w:sz w:val="18"/>
              </w:rPr>
            </w:pPr>
            <w:r w:rsidRPr="008C526C">
              <w:rPr>
                <w:rFonts w:ascii="Symbol" w:hAnsi="Symbol" w:cs="Symbol"/>
                <w:color w:val="auto"/>
                <w:sz w:val="18"/>
              </w:rPr>
              <w:t></w:t>
            </w:r>
            <w:r w:rsidRPr="008C526C">
              <w:rPr>
                <w:color w:val="auto"/>
                <w:sz w:val="18"/>
              </w:rPr>
              <w:tab/>
              <w:t>Bei vorhandenen Zweifeln, dass die Maßnahmen des Arbeitsschutzes ausreichend sind, sind dem AG weitere Maßnahmen</w:t>
            </w:r>
            <w:r w:rsidR="00055B5F">
              <w:rPr>
                <w:color w:val="auto"/>
                <w:sz w:val="18"/>
              </w:rPr>
              <w:t xml:space="preserve"> durch die Betriebsärztin/dem Betriebsarzt</w:t>
            </w:r>
            <w:r w:rsidRPr="008C526C">
              <w:rPr>
                <w:color w:val="auto"/>
                <w:sz w:val="18"/>
              </w:rPr>
              <w:t xml:space="preserve"> vorzuschlagen.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5201" w14:textId="77777777" w:rsidR="00055B5F" w:rsidRDefault="00055B5F">
            <w:pPr>
              <w:pStyle w:val="Blocksatz"/>
              <w:jc w:val="center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>Arbeitsmedizinerin/Arbeits-mediziner</w:t>
            </w:r>
          </w:p>
          <w:p w14:paraId="4BC9B7FF" w14:textId="77777777" w:rsidR="00405A20" w:rsidRPr="008C526C" w:rsidRDefault="00405A20">
            <w:pPr>
              <w:pStyle w:val="Blocksatz"/>
              <w:jc w:val="center"/>
              <w:rPr>
                <w:b/>
                <w:color w:val="auto"/>
                <w:sz w:val="18"/>
              </w:rPr>
            </w:pPr>
            <w:r w:rsidRPr="008C526C">
              <w:rPr>
                <w:b/>
                <w:color w:val="auto"/>
                <w:sz w:val="18"/>
              </w:rPr>
              <w:t xml:space="preserve">Betriebsärztin/Betriebsarzt </w:t>
            </w:r>
          </w:p>
        </w:tc>
      </w:tr>
    </w:tbl>
    <w:p w14:paraId="05823046" w14:textId="77777777" w:rsidR="00405A20" w:rsidRPr="008C526C" w:rsidRDefault="00405A20">
      <w:pPr>
        <w:pStyle w:val="Blocksatz"/>
        <w:spacing w:before="0" w:after="0"/>
        <w:rPr>
          <w:color w:val="auto"/>
          <w:sz w:val="2"/>
          <w:szCs w:val="2"/>
        </w:rPr>
      </w:pPr>
    </w:p>
    <w:p w14:paraId="6E82AD57" w14:textId="77777777" w:rsidR="003E37E6" w:rsidRPr="008C526C" w:rsidRDefault="003E37E6" w:rsidP="003E37E6">
      <w:pPr>
        <w:rPr>
          <w:color w:val="auto"/>
          <w:lang w:eastAsia="x-none"/>
        </w:rPr>
      </w:pPr>
    </w:p>
    <w:sectPr w:rsidR="003E37E6" w:rsidRPr="008C526C" w:rsidSect="00C83918">
      <w:headerReference w:type="default" r:id="rId7"/>
      <w:footerReference w:type="default" r:id="rId8"/>
      <w:pgSz w:w="11906" w:h="16838" w:code="9"/>
      <w:pgMar w:top="1440" w:right="1009" w:bottom="1440" w:left="1009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D4EB" w14:textId="77777777" w:rsidR="00532A82" w:rsidRDefault="00532A82">
      <w:pPr>
        <w:spacing w:after="0" w:line="240" w:lineRule="auto"/>
      </w:pPr>
      <w:r>
        <w:separator/>
      </w:r>
    </w:p>
  </w:endnote>
  <w:endnote w:type="continuationSeparator" w:id="0">
    <w:p w14:paraId="41550BBA" w14:textId="77777777" w:rsidR="00532A82" w:rsidRDefault="0053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13"/>
      <w:gridCol w:w="2287"/>
      <w:gridCol w:w="2288"/>
      <w:gridCol w:w="3264"/>
    </w:tblGrid>
    <w:tr w:rsidR="00BB3D04" w:rsidRPr="00BF4B0B" w14:paraId="69E6C253" w14:textId="77777777" w:rsidTr="00131802">
      <w:tc>
        <w:tcPr>
          <w:tcW w:w="2113" w:type="dxa"/>
          <w:shd w:val="clear" w:color="auto" w:fill="auto"/>
        </w:tcPr>
        <w:p w14:paraId="35791F35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287" w:type="dxa"/>
          <w:shd w:val="clear" w:color="auto" w:fill="auto"/>
        </w:tcPr>
        <w:p w14:paraId="02AEF9DE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BF4B0B">
            <w:rPr>
              <w:rFonts w:ascii="Arial" w:hAnsi="Arial" w:cs="Arial"/>
              <w:b/>
              <w:bCs/>
              <w:sz w:val="20"/>
              <w:szCs w:val="20"/>
            </w:rPr>
            <w:t>erstellt</w:t>
          </w:r>
        </w:p>
      </w:tc>
      <w:tc>
        <w:tcPr>
          <w:tcW w:w="2288" w:type="dxa"/>
          <w:shd w:val="clear" w:color="auto" w:fill="auto"/>
        </w:tcPr>
        <w:p w14:paraId="0DB46350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BF4B0B">
            <w:rPr>
              <w:rFonts w:ascii="Arial" w:hAnsi="Arial" w:cs="Arial"/>
              <w:b/>
              <w:bCs/>
              <w:sz w:val="20"/>
              <w:szCs w:val="20"/>
            </w:rPr>
            <w:t>geprüft</w:t>
          </w:r>
        </w:p>
      </w:tc>
      <w:tc>
        <w:tcPr>
          <w:tcW w:w="3264" w:type="dxa"/>
          <w:shd w:val="clear" w:color="auto" w:fill="auto"/>
        </w:tcPr>
        <w:p w14:paraId="5C52A73D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BF4B0B">
            <w:rPr>
              <w:rFonts w:ascii="Arial" w:hAnsi="Arial" w:cs="Arial"/>
              <w:b/>
              <w:bCs/>
              <w:sz w:val="20"/>
              <w:szCs w:val="20"/>
            </w:rPr>
            <w:t>freigegeben</w:t>
          </w:r>
        </w:p>
      </w:tc>
    </w:tr>
    <w:tr w:rsidR="00BB3D04" w:rsidRPr="00BF4B0B" w14:paraId="410C8020" w14:textId="77777777" w:rsidTr="00131802">
      <w:tc>
        <w:tcPr>
          <w:tcW w:w="2113" w:type="dxa"/>
          <w:shd w:val="clear" w:color="auto" w:fill="auto"/>
        </w:tcPr>
        <w:p w14:paraId="54B9CAF5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BF4B0B">
            <w:rPr>
              <w:rFonts w:ascii="Arial" w:hAnsi="Arial" w:cs="Arial"/>
              <w:b/>
              <w:bCs/>
              <w:sz w:val="20"/>
              <w:szCs w:val="20"/>
            </w:rPr>
            <w:t>Datum:</w:t>
          </w:r>
        </w:p>
      </w:tc>
      <w:tc>
        <w:tcPr>
          <w:tcW w:w="2287" w:type="dxa"/>
          <w:shd w:val="clear" w:color="auto" w:fill="auto"/>
        </w:tcPr>
        <w:p w14:paraId="76AC0CEA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  <w:tc>
        <w:tcPr>
          <w:tcW w:w="2288" w:type="dxa"/>
          <w:shd w:val="clear" w:color="auto" w:fill="auto"/>
        </w:tcPr>
        <w:p w14:paraId="41786D23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  <w:tc>
        <w:tcPr>
          <w:tcW w:w="3264" w:type="dxa"/>
          <w:shd w:val="clear" w:color="auto" w:fill="auto"/>
        </w:tcPr>
        <w:p w14:paraId="43FFA291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xx.xx.202x</w:t>
          </w:r>
        </w:p>
      </w:tc>
    </w:tr>
    <w:tr w:rsidR="00BB3D04" w:rsidRPr="00BF4B0B" w14:paraId="4E9EA039" w14:textId="77777777" w:rsidTr="00131802">
      <w:tc>
        <w:tcPr>
          <w:tcW w:w="2113" w:type="dxa"/>
          <w:shd w:val="clear" w:color="auto" w:fill="auto"/>
        </w:tcPr>
        <w:p w14:paraId="179C113C" w14:textId="77777777" w:rsidR="00BB3D04" w:rsidRPr="00BF4B0B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/>
              <w:bCs/>
              <w:sz w:val="20"/>
              <w:szCs w:val="20"/>
            </w:rPr>
          </w:pPr>
          <w:r w:rsidRPr="00BF4B0B">
            <w:rPr>
              <w:rFonts w:ascii="Arial" w:hAnsi="Arial" w:cs="Arial"/>
              <w:b/>
              <w:bCs/>
              <w:sz w:val="20"/>
              <w:szCs w:val="20"/>
            </w:rPr>
            <w:t>Name:</w:t>
          </w:r>
        </w:p>
      </w:tc>
      <w:tc>
        <w:tcPr>
          <w:tcW w:w="2287" w:type="dxa"/>
          <w:shd w:val="clear" w:color="auto" w:fill="auto"/>
        </w:tcPr>
        <w:p w14:paraId="594DFAD2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Max Mustermann</w:t>
          </w:r>
        </w:p>
      </w:tc>
      <w:tc>
        <w:tcPr>
          <w:tcW w:w="2288" w:type="dxa"/>
          <w:shd w:val="clear" w:color="auto" w:fill="auto"/>
        </w:tcPr>
        <w:p w14:paraId="1F9C23D5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Erika Mustermann</w:t>
          </w:r>
        </w:p>
      </w:tc>
      <w:tc>
        <w:tcPr>
          <w:tcW w:w="3264" w:type="dxa"/>
          <w:shd w:val="clear" w:color="auto" w:fill="auto"/>
        </w:tcPr>
        <w:p w14:paraId="4417582D" w14:textId="77777777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 w:val="20"/>
              <w:szCs w:val="20"/>
            </w:rPr>
          </w:pPr>
          <w:r w:rsidRPr="008D5396">
            <w:rPr>
              <w:rFonts w:ascii="Arial" w:hAnsi="Arial" w:cs="Arial"/>
              <w:bCs/>
              <w:sz w:val="20"/>
              <w:szCs w:val="20"/>
            </w:rPr>
            <w:t>…</w:t>
          </w:r>
        </w:p>
      </w:tc>
    </w:tr>
    <w:tr w:rsidR="00BB3D04" w:rsidRPr="00BF4B0B" w14:paraId="5373B72A" w14:textId="77777777" w:rsidTr="00131802">
      <w:tc>
        <w:tcPr>
          <w:tcW w:w="9952" w:type="dxa"/>
          <w:gridSpan w:val="4"/>
          <w:shd w:val="clear" w:color="auto" w:fill="auto"/>
        </w:tcPr>
        <w:p w14:paraId="3675776F" w14:textId="21E7C792" w:rsidR="00BB3D04" w:rsidRPr="008D5396" w:rsidRDefault="00BB3D04" w:rsidP="00BB3D04">
          <w:pPr>
            <w:widowControl w:val="0"/>
            <w:spacing w:after="0" w:line="240" w:lineRule="auto"/>
            <w:ind w:right="227"/>
            <w:rPr>
              <w:rFonts w:ascii="Arial" w:hAnsi="Arial" w:cs="Arial"/>
              <w:bCs/>
              <w:szCs w:val="20"/>
            </w:rPr>
          </w:pPr>
          <w:r w:rsidRPr="008D5396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 xml:space="preserve">BG BAU: 6. Auflage AMS BAU, Stand </w:t>
          </w:r>
          <w:r w:rsidR="00BD2040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09</w:t>
          </w:r>
          <w:r w:rsidRPr="008D5396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/202</w:t>
          </w:r>
          <w:r w:rsidR="00BD2040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2</w:t>
          </w:r>
          <w:r w:rsidRPr="008D5396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, Handlungshilfe 0</w:t>
          </w:r>
          <w:r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9</w:t>
          </w:r>
          <w:r w:rsidRPr="008D5396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.0</w:t>
          </w:r>
          <w:r w:rsidR="00C83918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 xml:space="preserve">1, </w:t>
          </w:r>
          <w:r w:rsidR="00C83918" w:rsidRPr="00C83918">
            <w:rPr>
              <w:rFonts w:ascii="Arial" w:hAnsi="Arial" w:cs="Arial"/>
              <w:bCs/>
              <w:i/>
              <w:iCs/>
              <w:sz w:val="18"/>
              <w:szCs w:val="18"/>
              <w:lang w:eastAsia="x-none"/>
            </w:rPr>
            <w:t>Layout 09.2023</w:t>
          </w:r>
        </w:p>
      </w:tc>
    </w:tr>
  </w:tbl>
  <w:p w14:paraId="194697EF" w14:textId="77777777" w:rsidR="00405A20" w:rsidRPr="00BB3D04" w:rsidRDefault="00405A20" w:rsidP="00BB3D04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4A211" w14:textId="77777777" w:rsidR="00532A82" w:rsidRDefault="00532A82">
      <w:pPr>
        <w:spacing w:after="0" w:line="240" w:lineRule="auto"/>
      </w:pPr>
      <w:r>
        <w:separator/>
      </w:r>
    </w:p>
  </w:footnote>
  <w:footnote w:type="continuationSeparator" w:id="0">
    <w:p w14:paraId="4C3F3C16" w14:textId="77777777" w:rsidR="00532A82" w:rsidRDefault="00532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176" w:type="dxa"/>
      <w:tblLook w:val="0000" w:firstRow="0" w:lastRow="0" w:firstColumn="0" w:lastColumn="0" w:noHBand="0" w:noVBand="0"/>
    </w:tblPr>
    <w:tblGrid>
      <w:gridCol w:w="1702"/>
      <w:gridCol w:w="6662"/>
      <w:gridCol w:w="1985"/>
    </w:tblGrid>
    <w:tr w:rsidR="00BB3D04" w:rsidRPr="00BF4B0B" w14:paraId="6554D5E8" w14:textId="77777777" w:rsidTr="008C526C">
      <w:trPr>
        <w:trHeight w:val="398"/>
      </w:trPr>
      <w:tc>
        <w:tcPr>
          <w:tcW w:w="1702" w:type="dxa"/>
          <w:vMerge w:val="restart"/>
          <w:tcBorders>
            <w:top w:val="single" w:sz="4" w:space="0" w:color="BFBFBF"/>
            <w:left w:val="single" w:sz="4" w:space="0" w:color="BFBFBF"/>
            <w:right w:val="single" w:sz="6" w:space="0" w:color="BFBFBF"/>
          </w:tcBorders>
          <w:vAlign w:val="center"/>
        </w:tcPr>
        <w:p w14:paraId="33EF3CE1" w14:textId="77777777" w:rsidR="00BB3D04" w:rsidRPr="0051055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747474"/>
              <w:sz w:val="20"/>
              <w:szCs w:val="20"/>
            </w:rPr>
          </w:pPr>
          <w:bookmarkStart w:id="0" w:name="_Hlk66874263"/>
          <w:r w:rsidRPr="0051055B">
            <w:rPr>
              <w:rFonts w:ascii="Arial" w:eastAsia="Arial" w:hAnsi="Arial" w:cs="Arial"/>
              <w:b/>
              <w:color w:val="747474"/>
              <w:sz w:val="20"/>
              <w:szCs w:val="20"/>
            </w:rPr>
            <w:t>Firmenlogo</w:t>
          </w:r>
        </w:p>
      </w:tc>
      <w:tc>
        <w:tcPr>
          <w:tcW w:w="6662" w:type="dxa"/>
          <w:vMerge w:val="restart"/>
          <w:tcBorders>
            <w:top w:val="single" w:sz="4" w:space="0" w:color="BFBFBF"/>
            <w:left w:val="single" w:sz="6" w:space="0" w:color="BFBFBF"/>
            <w:right w:val="single" w:sz="6" w:space="0" w:color="BFBFBF"/>
          </w:tcBorders>
          <w:vAlign w:val="center"/>
        </w:tcPr>
        <w:p w14:paraId="7BFF5016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  <w:r w:rsidRPr="00BF4B0B">
            <w:rPr>
              <w:rFonts w:ascii="Arial" w:eastAsia="Arial" w:hAnsi="Arial" w:cs="Arial"/>
              <w:sz w:val="28"/>
              <w:szCs w:val="28"/>
            </w:rPr>
            <w:fldChar w:fldCharType="begin"/>
          </w:r>
          <w:r w:rsidRPr="00BF4B0B">
            <w:rPr>
              <w:rFonts w:ascii="Arial" w:eastAsia="Arial" w:hAnsi="Arial" w:cs="Arial"/>
              <w:b/>
              <w:sz w:val="28"/>
              <w:szCs w:val="28"/>
            </w:rPr>
            <w:instrText xml:space="preserve"> TITLE   \* MERGEFORMAT </w:instrText>
          </w:r>
          <w:r w:rsidRPr="00BF4B0B">
            <w:rPr>
              <w:rFonts w:ascii="Arial" w:eastAsia="Arial" w:hAnsi="Arial" w:cs="Arial"/>
              <w:sz w:val="28"/>
              <w:szCs w:val="28"/>
            </w:rPr>
            <w:fldChar w:fldCharType="separate"/>
          </w:r>
          <w:r w:rsidR="00A73DBA">
            <w:rPr>
              <w:rFonts w:ascii="Arial" w:eastAsia="Arial" w:hAnsi="Arial" w:cs="Arial"/>
              <w:b/>
              <w:sz w:val="28"/>
              <w:szCs w:val="28"/>
            </w:rPr>
            <w:t>Übersicht Arbeitsmedizinische Vorsorge nach ArbMedVV</w:t>
          </w:r>
          <w:r w:rsidRPr="00BF4B0B">
            <w:rPr>
              <w:rFonts w:ascii="Arial" w:eastAsia="Arial" w:hAnsi="Arial" w:cs="Arial"/>
              <w:sz w:val="28"/>
              <w:szCs w:val="28"/>
            </w:rPr>
            <w:fldChar w:fldCharType="end"/>
          </w:r>
        </w:p>
      </w:tc>
      <w:tc>
        <w:tcPr>
          <w:tcW w:w="1985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0CB05FB8" w14:textId="77777777" w:rsidR="00BB3D04" w:rsidRPr="00BF4B0B" w:rsidRDefault="00BB3D04" w:rsidP="00BB3D04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BF4B0B">
            <w:rPr>
              <w:rFonts w:ascii="Arial" w:eastAsia="Arial" w:hAnsi="Arial" w:cs="Arial"/>
              <w:sz w:val="20"/>
              <w:szCs w:val="20"/>
            </w:rPr>
            <w:t xml:space="preserve">Dok.-Nr. </w:t>
          </w:r>
          <w:r w:rsidRPr="00BF4B0B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bookmarkEnd w:id="0"/>
    <w:tr w:rsidR="00BB3D04" w:rsidRPr="00BF4B0B" w14:paraId="545A15A3" w14:textId="77777777" w:rsidTr="008C526C">
      <w:trPr>
        <w:trHeight w:val="293"/>
      </w:trPr>
      <w:tc>
        <w:tcPr>
          <w:tcW w:w="1702" w:type="dxa"/>
          <w:vMerge/>
          <w:tcBorders>
            <w:left w:val="single" w:sz="4" w:space="0" w:color="BFBFBF"/>
            <w:right w:val="single" w:sz="6" w:space="0" w:color="BFBFBF"/>
          </w:tcBorders>
          <w:vAlign w:val="center"/>
        </w:tcPr>
        <w:p w14:paraId="029F0ABD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6662" w:type="dxa"/>
          <w:vMerge/>
          <w:tcBorders>
            <w:left w:val="single" w:sz="6" w:space="0" w:color="BFBFBF"/>
            <w:right w:val="single" w:sz="6" w:space="0" w:color="BFBFBF"/>
          </w:tcBorders>
          <w:vAlign w:val="center"/>
        </w:tcPr>
        <w:p w14:paraId="2A6BA5E4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1985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7EC7DC44" w14:textId="77777777" w:rsidR="00BB3D04" w:rsidRPr="00BF4B0B" w:rsidRDefault="00BB3D04" w:rsidP="00BB3D04">
          <w:pPr>
            <w:tabs>
              <w:tab w:val="left" w:pos="1163"/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</w:rPr>
          </w:pPr>
          <w:r w:rsidRPr="00BF4B0B">
            <w:rPr>
              <w:rFonts w:ascii="Arial" w:eastAsia="Arial" w:hAnsi="Arial" w:cs="Arial"/>
              <w:sz w:val="20"/>
              <w:szCs w:val="20"/>
            </w:rPr>
            <w:t xml:space="preserve">Rev.-Nr. </w:t>
          </w:r>
          <w:r w:rsidRPr="00BF4B0B">
            <w:rPr>
              <w:rFonts w:ascii="Arial" w:eastAsia="Arial" w:hAnsi="Arial" w:cs="Arial"/>
              <w:sz w:val="20"/>
              <w:szCs w:val="20"/>
            </w:rPr>
            <w:tab/>
            <w:t>xx</w:t>
          </w:r>
        </w:p>
      </w:tc>
    </w:tr>
    <w:tr w:rsidR="00BB3D04" w:rsidRPr="00BF4B0B" w14:paraId="142E45B8" w14:textId="77777777" w:rsidTr="008C526C">
      <w:trPr>
        <w:trHeight w:val="53"/>
      </w:trPr>
      <w:tc>
        <w:tcPr>
          <w:tcW w:w="1702" w:type="dxa"/>
          <w:vMerge/>
          <w:tcBorders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1EFCEEA6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b/>
              <w:color w:val="D9D9D9"/>
            </w:rPr>
          </w:pPr>
        </w:p>
      </w:tc>
      <w:tc>
        <w:tcPr>
          <w:tcW w:w="6662" w:type="dxa"/>
          <w:vMerge/>
          <w:tcBorders>
            <w:left w:val="single" w:sz="6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685C2760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jc w:val="center"/>
            <w:rPr>
              <w:rFonts w:ascii="Arial" w:eastAsia="Arial" w:hAnsi="Arial" w:cs="Arial"/>
              <w:color w:val="8EAADB"/>
              <w:sz w:val="28"/>
              <w:szCs w:val="28"/>
            </w:rPr>
          </w:pPr>
        </w:p>
      </w:tc>
      <w:tc>
        <w:tcPr>
          <w:tcW w:w="1985" w:type="dxa"/>
          <w:tcBorders>
            <w:top w:val="single" w:sz="4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325F7C3F" w14:textId="77777777" w:rsidR="00BB3D04" w:rsidRPr="00BF4B0B" w:rsidRDefault="00BB3D04" w:rsidP="00BB3D04">
          <w:pPr>
            <w:tabs>
              <w:tab w:val="center" w:pos="4536"/>
              <w:tab w:val="right" w:pos="9072"/>
            </w:tabs>
            <w:spacing w:after="0" w:line="240" w:lineRule="auto"/>
            <w:ind w:right="227"/>
            <w:rPr>
              <w:rFonts w:ascii="Arial" w:eastAsia="Arial" w:hAnsi="Arial" w:cs="Arial"/>
              <w:sz w:val="20"/>
              <w:szCs w:val="20"/>
              <w:lang w:eastAsia="x-none"/>
            </w:rPr>
          </w:pP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Seite </w: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PAGE \* Arabic </w:instrTex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t>1</w: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t xml:space="preserve"> von </w: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begin"/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instrText xml:space="preserve"> NUMPAGES \* Arabic </w:instrTex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separate"/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t>2</w:t>
          </w:r>
          <w:r w:rsidRPr="00BF4B0B">
            <w:rPr>
              <w:rFonts w:ascii="Arial" w:eastAsia="Arial" w:hAnsi="Arial" w:cs="Arial"/>
              <w:sz w:val="20"/>
              <w:szCs w:val="20"/>
              <w:lang w:eastAsia="x-none"/>
            </w:rPr>
            <w:fldChar w:fldCharType="end"/>
          </w:r>
        </w:p>
      </w:tc>
    </w:tr>
  </w:tbl>
  <w:p w14:paraId="4E356C99" w14:textId="77777777" w:rsidR="00405A20" w:rsidRPr="0011206D" w:rsidRDefault="00405A20">
    <w:pPr>
      <w:widowControl w:val="0"/>
      <w:spacing w:after="0"/>
      <w:ind w:left="-108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6"/>
    <w:rsid w:val="00002565"/>
    <w:rsid w:val="00032D85"/>
    <w:rsid w:val="00055B5F"/>
    <w:rsid w:val="000C67AF"/>
    <w:rsid w:val="000D6388"/>
    <w:rsid w:val="0011206D"/>
    <w:rsid w:val="00131802"/>
    <w:rsid w:val="00140B77"/>
    <w:rsid w:val="00152554"/>
    <w:rsid w:val="001F1ABA"/>
    <w:rsid w:val="001F3A85"/>
    <w:rsid w:val="0020313D"/>
    <w:rsid w:val="00360AE6"/>
    <w:rsid w:val="003B4F79"/>
    <w:rsid w:val="003E37E6"/>
    <w:rsid w:val="003F084C"/>
    <w:rsid w:val="00405A20"/>
    <w:rsid w:val="00443B11"/>
    <w:rsid w:val="00462667"/>
    <w:rsid w:val="00474904"/>
    <w:rsid w:val="004C0BFD"/>
    <w:rsid w:val="0051055B"/>
    <w:rsid w:val="00532A82"/>
    <w:rsid w:val="0053542A"/>
    <w:rsid w:val="0056064E"/>
    <w:rsid w:val="00680782"/>
    <w:rsid w:val="006A20B1"/>
    <w:rsid w:val="006C3A09"/>
    <w:rsid w:val="006C526D"/>
    <w:rsid w:val="00770D58"/>
    <w:rsid w:val="007B4930"/>
    <w:rsid w:val="007C647F"/>
    <w:rsid w:val="008349B4"/>
    <w:rsid w:val="0085480B"/>
    <w:rsid w:val="00880A5C"/>
    <w:rsid w:val="008C526C"/>
    <w:rsid w:val="00973F28"/>
    <w:rsid w:val="009866AD"/>
    <w:rsid w:val="00A5269B"/>
    <w:rsid w:val="00A73A43"/>
    <w:rsid w:val="00A73DBA"/>
    <w:rsid w:val="00B3044F"/>
    <w:rsid w:val="00BB3D04"/>
    <w:rsid w:val="00BD2040"/>
    <w:rsid w:val="00BF2DB6"/>
    <w:rsid w:val="00C34C54"/>
    <w:rsid w:val="00C83918"/>
    <w:rsid w:val="00C965E0"/>
    <w:rsid w:val="00CD0CBE"/>
    <w:rsid w:val="00D067D1"/>
    <w:rsid w:val="00D5586A"/>
    <w:rsid w:val="00E10C88"/>
    <w:rsid w:val="00EA7702"/>
    <w:rsid w:val="00F209C3"/>
    <w:rsid w:val="00F34F0A"/>
    <w:rsid w:val="00F8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8B5EE3"/>
  <w15:chartTrackingRefBased/>
  <w15:docId w15:val="{2DD2CD7A-52C2-48B5-BB98-402A4955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locksatz">
    <w:name w:val="Blocksatz"/>
    <w:basedOn w:val="Kopfzeile"/>
    <w:pPr>
      <w:tabs>
        <w:tab w:val="clear" w:pos="4536"/>
        <w:tab w:val="clear" w:pos="9072"/>
      </w:tabs>
      <w:spacing w:before="120" w:after="120"/>
      <w:jc w:val="both"/>
    </w:pPr>
    <w:rPr>
      <w:rFonts w:ascii="Arial" w:eastAsia="Times New Roman" w:hAnsi="Arial" w:cs="Times New Roman"/>
      <w:szCs w:val="20"/>
      <w:lang w:eastAsia="x-none"/>
    </w:rPr>
  </w:style>
  <w:style w:type="paragraph" w:customStyle="1" w:styleId="Tabelle">
    <w:name w:val="Tabelle"/>
    <w:basedOn w:val="Blocksatz"/>
  </w:style>
  <w:style w:type="paragraph" w:customStyle="1" w:styleId="Tabelle2">
    <w:name w:val="Tabelle2"/>
    <w:basedOn w:val="Tabelle"/>
    <w:pPr>
      <w:ind w:left="497"/>
      <w:jc w:val="left"/>
    </w:pPr>
    <w:rPr>
      <w:sz w:val="18"/>
    </w:rPr>
  </w:style>
  <w:style w:type="paragraph" w:customStyle="1" w:styleId="Blocksatzatabelle">
    <w:name w:val="Blocksatza)_tabelle"/>
    <w:basedOn w:val="Blocksatza"/>
    <w:pPr>
      <w:tabs>
        <w:tab w:val="clear" w:pos="426"/>
      </w:tabs>
      <w:spacing w:before="20" w:after="20"/>
      <w:ind w:left="425" w:hanging="425"/>
    </w:pPr>
    <w:rPr>
      <w:sz w:val="20"/>
    </w:rPr>
  </w:style>
  <w:style w:type="paragraph" w:customStyle="1" w:styleId="Blocksatza">
    <w:name w:val="Blocksatz_a)"/>
    <w:basedOn w:val="Blocksatz"/>
    <w:pPr>
      <w:tabs>
        <w:tab w:val="left" w:pos="426"/>
      </w:tabs>
      <w:ind w:left="426" w:hanging="426"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50070D"/>
      <w:u w:val="single"/>
    </w:rPr>
  </w:style>
  <w:style w:type="character" w:styleId="NichtaufgelsteErwhnung">
    <w:name w:val="Unresolved Mention"/>
    <w:uiPriority w:val="99"/>
    <w:semiHidden/>
    <w:unhideWhenUsed/>
    <w:rsid w:val="00E10C88"/>
    <w:rPr>
      <w:color w:val="605E5C"/>
      <w:shd w:val="clear" w:color="auto" w:fill="E1DFDD"/>
    </w:rPr>
  </w:style>
  <w:style w:type="character" w:styleId="BesuchterLink">
    <w:name w:val="FollowedHyperlink"/>
    <w:rsid w:val="004749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setze-im-internet.de/arbmedvv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Links>
    <vt:vector size="6" baseType="variant">
      <vt:variant>
        <vt:i4>3211302</vt:i4>
      </vt:variant>
      <vt:variant>
        <vt:i4>0</vt:i4>
      </vt:variant>
      <vt:variant>
        <vt:i4>0</vt:i4>
      </vt:variant>
      <vt:variant>
        <vt:i4>5</vt:i4>
      </vt:variant>
      <vt:variant>
        <vt:lpwstr>https://www.gesetze-im-internet.de/arbmedvv/index.html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2</cp:revision>
  <dcterms:created xsi:type="dcterms:W3CDTF">2025-03-28T14:11:00Z</dcterms:created>
  <dcterms:modified xsi:type="dcterms:W3CDTF">2025-03-28T14:11:00Z</dcterms:modified>
</cp:coreProperties>
</file>